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bookmarkStart w:id="0" w:name="_GoBack"/>
      <w:r w:rsidRPr="00D8497A">
        <w:rPr>
          <w:rFonts w:ascii="Times New Roman" w:hAnsi="Times New Roman"/>
          <w:i/>
          <w:sz w:val="36"/>
          <w:szCs w:val="36"/>
        </w:rPr>
        <w:t xml:space="preserve">Управление государственной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должн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ного лица; совершаются должностным лицом единолично, однако могли быть 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Ответственность за получение, дачу взятки, посредничество во взяточничес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 201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фиктивныхтрудовых договоровс выплатой зарпл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тывзяточнику,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Необходимо также знать, что статьей 19.28 КоАП РФ установлена админис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нег, ценных бумаг, иного имущества, оказание ему услуг имущественного характ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вершение или несовершение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дующей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зволить потенциальному взяткодателю «выговориться», сообщить как можно бол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 xml:space="preserve">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гда сомнения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</w:t>
      </w:r>
      <w:r w:rsidRPr="00F14A0A">
        <w:rPr>
          <w:rFonts w:ascii="Times New Roman" w:hAnsi="Times New Roman"/>
          <w:sz w:val="28"/>
          <w:szCs w:val="28"/>
        </w:rPr>
        <w:lastRenderedPageBreak/>
        <w:t xml:space="preserve">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тии защиты лиц, исполнивших указанную обязанность. 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 имущес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 xml:space="preserve">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lastRenderedPageBreak/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государс</w:t>
      </w:r>
      <w:r w:rsidRPr="00F14A0A">
        <w:rPr>
          <w:sz w:val="28"/>
          <w:szCs w:val="28"/>
        </w:rPr>
        <w:t>т</w:t>
      </w:r>
      <w:r w:rsidRPr="00F14A0A">
        <w:rPr>
          <w:sz w:val="28"/>
          <w:szCs w:val="28"/>
        </w:rPr>
        <w:t>венной защите потерпевших, свидетелей и иных участников уголовного судопрои</w:t>
      </w:r>
      <w:r w:rsidRPr="00F14A0A">
        <w:rPr>
          <w:sz w:val="28"/>
          <w:szCs w:val="28"/>
        </w:rPr>
        <w:t>з</w:t>
      </w:r>
      <w:r w:rsidRPr="00F14A0A">
        <w:rPr>
          <w:sz w:val="28"/>
          <w:szCs w:val="28"/>
        </w:rPr>
        <w:t>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  <w:bookmarkEnd w:id="0"/>
    </w:p>
    <w:sectPr w:rsidR="00C9298C" w:rsidRPr="00A76DDC" w:rsidSect="00237810">
      <w:headerReference w:type="default" r:id="rId8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A0" w:rsidRDefault="00F075A0" w:rsidP="00312082">
      <w:pPr>
        <w:spacing w:after="0" w:line="240" w:lineRule="auto"/>
      </w:pPr>
      <w:r>
        <w:separator/>
      </w:r>
    </w:p>
  </w:endnote>
  <w:endnote w:type="continuationSeparator" w:id="1">
    <w:p w:rsidR="00F075A0" w:rsidRDefault="00F075A0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A0" w:rsidRDefault="00F075A0" w:rsidP="00312082">
      <w:pPr>
        <w:spacing w:after="0" w:line="240" w:lineRule="auto"/>
      </w:pPr>
      <w:r>
        <w:separator/>
      </w:r>
    </w:p>
  </w:footnote>
  <w:footnote w:type="continuationSeparator" w:id="1">
    <w:p w:rsidR="00F075A0" w:rsidRDefault="00F075A0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630224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A810E5">
          <w:rPr>
            <w:rFonts w:ascii="Times New Roman" w:hAnsi="Times New Roman"/>
            <w:noProof/>
            <w:sz w:val="28"/>
            <w:szCs w:val="28"/>
          </w:rPr>
          <w:t>2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B8"/>
    <w:rsid w:val="001238D8"/>
    <w:rsid w:val="001250B8"/>
    <w:rsid w:val="00136F50"/>
    <w:rsid w:val="0022060D"/>
    <w:rsid w:val="002255F0"/>
    <w:rsid w:val="00237810"/>
    <w:rsid w:val="00281A8C"/>
    <w:rsid w:val="002A19FE"/>
    <w:rsid w:val="002E342A"/>
    <w:rsid w:val="003053F0"/>
    <w:rsid w:val="00312082"/>
    <w:rsid w:val="003161CD"/>
    <w:rsid w:val="003F6B72"/>
    <w:rsid w:val="0046525E"/>
    <w:rsid w:val="004D0BF0"/>
    <w:rsid w:val="00571010"/>
    <w:rsid w:val="00630224"/>
    <w:rsid w:val="006434CA"/>
    <w:rsid w:val="006A592D"/>
    <w:rsid w:val="007A1994"/>
    <w:rsid w:val="007C1E04"/>
    <w:rsid w:val="007C7358"/>
    <w:rsid w:val="007F76B0"/>
    <w:rsid w:val="00877493"/>
    <w:rsid w:val="008A40E1"/>
    <w:rsid w:val="008E1E4D"/>
    <w:rsid w:val="008E218E"/>
    <w:rsid w:val="009B08AD"/>
    <w:rsid w:val="009C07A5"/>
    <w:rsid w:val="00A76DDC"/>
    <w:rsid w:val="00A810E5"/>
    <w:rsid w:val="00AF1B60"/>
    <w:rsid w:val="00B07CF2"/>
    <w:rsid w:val="00B1695D"/>
    <w:rsid w:val="00B2490A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5A0"/>
    <w:rsid w:val="00F07748"/>
    <w:rsid w:val="00FC2D30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6348-9B63-4FC9-8DBD-C6BAFA62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Артамонова</cp:lastModifiedBy>
  <cp:revision>2</cp:revision>
  <cp:lastPrinted>2017-04-10T13:34:00Z</cp:lastPrinted>
  <dcterms:created xsi:type="dcterms:W3CDTF">2017-05-16T07:20:00Z</dcterms:created>
  <dcterms:modified xsi:type="dcterms:W3CDTF">2017-05-16T07:20:00Z</dcterms:modified>
</cp:coreProperties>
</file>